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VICTOR RAUL MARTINEZ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INTEGRADO  DE OPERACIÓN DE TRANSPORTE SI18 Suba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 Calle 145 N° 103B-08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TELÉFONO:3004458617</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2021ER36454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SISTEMA  INTEGRADO  DE OPERACIÓN DE TRANSPORTE SI18 Suba S.A.S. identificada con NIT 901230668-4 y cuya sede inscrita fue la ubicada en Av Calle </w:t>
            </w:r>
            <w:r w:rsidDel="00000000" w:rsidR="00000000" w:rsidRPr="00000000">
              <w:rPr>
                <w:rFonts w:ascii="Arial" w:cs="Arial" w:eastAsia="Arial" w:hAnsi="Arial"/>
                <w:sz w:val="22"/>
                <w:szCs w:val="22"/>
                <w:rtl w:val="0"/>
              </w:rPr>
              <w:t xml:space="preserve">145 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103B-08,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0"/>
              <w:gridCol w:w="2773"/>
              <w:gridCol w:w="2765"/>
              <w:tblGridChange w:id="0">
                <w:tblGrid>
                  <w:gridCol w:w="2730"/>
                  <w:gridCol w:w="2773"/>
                  <w:gridCol w:w="2765"/>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INTEGRADO  DE OPERACIÓN DE TRANSPORTE SI18 Suba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4819" w:hRule="atLeast"/>
          <w:tblHeader w:val="0"/>
        </w:trPr>
        <w:tc>
          <w:tcPr>
            <w:shd w:fill="auto"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María Fernanda Gómez Forero, asistió al 90 %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cumplimiento de cronograma y resultados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etapa del proyecto respecto al porcentaje de avance</w:t>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implementación en el cambio gradual de luminarias, completando un 73% del total propuesto, aunque se cuentan con resultados asociados al ahorro del consumo de energía, se recomienda formular indicadores de esta manera empezar a identificar el cumplimiento de metas parciales. Finalmente en ninguno de los dos entregables se evidencia cronograma propuesto, y aunque se tiene un avance bastante significativo, se recomienda la configuración de un cronograma para identificar la planificación y verificación de avance sobre las actividades propuestas.</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rHeight w:val="1081" w:hRule="atLeast"/>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61</w:t>
                  </w: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90">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Reconversión tecnológica en iluminación </w:t>
                  </w:r>
                </w:p>
                <w:p w:rsidR="00000000" w:rsidDel="00000000" w:rsidP="00000000" w:rsidRDefault="00000000" w:rsidRPr="00000000" w14:paraId="00000091">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3">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Cambio de luminarias metaloide y herméticas de 400 y 64 vatios, las cuales se van a cambiar por luminarias LED </w:t>
                  </w:r>
                  <w:r w:rsidDel="00000000" w:rsidR="00000000" w:rsidRPr="00000000">
                    <w:rPr>
                      <w:rFonts w:ascii="Arial" w:cs="Arial" w:eastAsia="Arial" w:hAnsi="Arial"/>
                      <w:sz w:val="22"/>
                      <w:szCs w:val="22"/>
                      <w:rtl w:val="0"/>
                    </w:rPr>
                    <w:t xml:space="preserve">Sylvania</w:t>
                  </w:r>
                  <w:r w:rsidDel="00000000" w:rsidR="00000000" w:rsidRPr="00000000">
                    <w:rPr>
                      <w:rFonts w:ascii="Arial" w:cs="Arial" w:eastAsia="Arial" w:hAnsi="Arial"/>
                      <w:color w:val="000000"/>
                      <w:sz w:val="22"/>
                      <w:szCs w:val="22"/>
                      <w:rtl w:val="0"/>
                    </w:rPr>
                    <w:t xml:space="preserve"> de 100 y 20 vatios respectivamente</w:t>
                  </w:r>
                </w:p>
                <w:p w:rsidR="00000000" w:rsidDel="00000000" w:rsidP="00000000" w:rsidRDefault="00000000" w:rsidRPr="00000000" w14:paraId="00000094">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implementación de  un proyecto de reconversión tecnológica de  su iluminación. Este proyecto se encuentra en fase de implementación y presenta reportes de beneficios energéticos, económicos y ambientales obtenidos. Sin embargo, no presentó el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de reporte de estado final </w:t>
            </w:r>
            <w:r w:rsidDel="00000000" w:rsidR="00000000" w:rsidRPr="00000000">
              <w:rPr>
                <w:rFonts w:ascii="Arial" w:cs="Arial" w:eastAsia="Arial" w:hAnsi="Arial"/>
                <w:sz w:val="22"/>
                <w:szCs w:val="22"/>
                <w:rtl w:val="0"/>
              </w:rPr>
              <w:t xml:space="preserve">del proyecto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no asistió a la sesión de  socialización final  del proyecto.   Se recomienda seguir avanzando  en las oportunidades identificadas  para mejorar el desempeño energético de la organización.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yq4WWuCD8yZC2dDDF/PAeIPrag==">AMUW2mVfcMLBMgecCQY0zFY7IW7eHidB/hOGjvB5nJOvRa/bQdoJGcd+UflQTpibppJx4lf28rMdJ9vTRpkORya3Lk/54WnrLkdCyYAOWX7A5dhUXJ1dyVY=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2021-11-26T15:44:00Z</dcterms:created>
  <dc:creator>Jorge Manrique</dc:creator>
</cp:coreProperties>
</file>